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eastAsia="zh-CN"/>
        </w:rPr>
        <w:t>附件</w:t>
      </w:r>
      <w:r>
        <w:rPr>
          <w:rFonts w:hint="eastAsia" w:ascii="仿宋" w:hAnsi="仿宋" w:eastAsia="仿宋" w:cs="宋体"/>
          <w:color w:val="000000"/>
          <w:kern w:val="0"/>
          <w:sz w:val="28"/>
          <w:szCs w:val="28"/>
          <w:lang w:val="en-US" w:eastAsia="zh-CN"/>
        </w:rPr>
        <w:t>3：</w:t>
      </w:r>
    </w:p>
    <w:p>
      <w:pPr>
        <w:jc w:val="center"/>
        <w:rPr>
          <w:rFonts w:ascii="黑体" w:hAnsi="黑体" w:eastAsia="黑体"/>
          <w:sz w:val="44"/>
          <w:szCs w:val="44"/>
        </w:rPr>
      </w:pPr>
      <w:r>
        <w:rPr>
          <w:rFonts w:hint="eastAsia" w:ascii="黑体" w:hAnsi="黑体" w:eastAsia="黑体"/>
          <w:sz w:val="44"/>
          <w:szCs w:val="44"/>
        </w:rPr>
        <w:t>临夏州人民医院</w:t>
      </w:r>
    </w:p>
    <w:p>
      <w:pPr>
        <w:jc w:val="center"/>
        <w:rPr>
          <w:rFonts w:hint="eastAsia" w:ascii="黑体" w:hAnsi="黑体" w:eastAsia="黑体"/>
          <w:sz w:val="44"/>
          <w:szCs w:val="44"/>
        </w:rPr>
      </w:pPr>
      <w:r>
        <w:rPr>
          <w:rFonts w:hint="eastAsia" w:ascii="黑体" w:hAnsi="黑体" w:eastAsia="黑体"/>
          <w:sz w:val="44"/>
          <w:szCs w:val="44"/>
        </w:rPr>
        <w:t>第三方专业审核监管服务项目</w:t>
      </w:r>
    </w:p>
    <w:p>
      <w:pPr>
        <w:jc w:val="center"/>
        <w:rPr>
          <w:rFonts w:hint="eastAsia" w:ascii="黑体" w:hAnsi="黑体" w:eastAsia="黑体"/>
          <w:sz w:val="28"/>
          <w:szCs w:val="28"/>
        </w:rPr>
      </w:pPr>
      <w:bookmarkStart w:id="0" w:name="_GoBack"/>
      <w:bookmarkEnd w:id="0"/>
    </w:p>
    <w:tbl>
      <w:tblPr>
        <w:tblStyle w:val="4"/>
        <w:tblW w:w="9548" w:type="dxa"/>
        <w:jc w:val="center"/>
        <w:tblLayout w:type="fixed"/>
        <w:tblCellMar>
          <w:top w:w="0" w:type="dxa"/>
          <w:left w:w="108" w:type="dxa"/>
          <w:bottom w:w="0" w:type="dxa"/>
          <w:right w:w="108" w:type="dxa"/>
        </w:tblCellMar>
      </w:tblPr>
      <w:tblGrid>
        <w:gridCol w:w="814"/>
        <w:gridCol w:w="2058"/>
        <w:gridCol w:w="6676"/>
      </w:tblGrid>
      <w:tr>
        <w:tblPrEx>
          <w:tblCellMar>
            <w:top w:w="0" w:type="dxa"/>
            <w:left w:w="108" w:type="dxa"/>
            <w:bottom w:w="0" w:type="dxa"/>
            <w:right w:w="108" w:type="dxa"/>
          </w:tblCellMar>
        </w:tblPrEx>
        <w:trPr>
          <w:trHeight w:val="590" w:hRule="atLeast"/>
          <w:jc w:val="center"/>
        </w:trPr>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序号</w:t>
            </w:r>
          </w:p>
        </w:tc>
        <w:tc>
          <w:tcPr>
            <w:tcW w:w="20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服务名称</w:t>
            </w:r>
          </w:p>
        </w:tc>
        <w:tc>
          <w:tcPr>
            <w:tcW w:w="66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服务内容</w:t>
            </w:r>
          </w:p>
        </w:tc>
      </w:tr>
      <w:tr>
        <w:trPr>
          <w:trHeight w:val="2475" w:hRule="atLeast"/>
          <w:jc w:val="center"/>
        </w:trPr>
        <w:tc>
          <w:tcPr>
            <w:tcW w:w="8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20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医保智能审核服务</w:t>
            </w:r>
          </w:p>
        </w:tc>
        <w:tc>
          <w:tcPr>
            <w:tcW w:w="66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更新医保智能审核系统引擎，利用既定的系统的审核规则，结合专业人员对数据的更新和维护，在甲方指定的工作站提供事前提示服务，该服务的服务范围可包括医保管理科（医保核算科审核）、门诊医生工作站、急诊医生工作站、住院医生工作站、护士工作站、医技收费（含门诊、住院手术室、麻醉收费）、门诊收费处、急诊收费处、住院收费处</w:t>
            </w:r>
          </w:p>
        </w:tc>
      </w:tr>
      <w:tr>
        <w:tblPrEx>
          <w:tblCellMar>
            <w:top w:w="0" w:type="dxa"/>
            <w:left w:w="108" w:type="dxa"/>
            <w:bottom w:w="0" w:type="dxa"/>
            <w:right w:w="108" w:type="dxa"/>
          </w:tblCellMar>
        </w:tblPrEx>
        <w:trPr>
          <w:trHeight w:val="1335" w:hRule="atLeast"/>
          <w:jc w:val="center"/>
        </w:trPr>
        <w:tc>
          <w:tcPr>
            <w:tcW w:w="8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c>
          <w:tcPr>
            <w:tcW w:w="20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自查自纠服务</w:t>
            </w:r>
          </w:p>
        </w:tc>
        <w:tc>
          <w:tcPr>
            <w:tcW w:w="66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根据评价医疗质量的关键指标以及医保监管的关键指标，按照各级医保局的文件要求，对甲方开展的自查自纠工作，进行数据分析和问题汇总，出具分析报告和整改措施</w:t>
            </w:r>
          </w:p>
        </w:tc>
      </w:tr>
      <w:tr>
        <w:tblPrEx>
          <w:tblCellMar>
            <w:top w:w="0" w:type="dxa"/>
            <w:left w:w="108" w:type="dxa"/>
            <w:bottom w:w="0" w:type="dxa"/>
            <w:right w:w="108" w:type="dxa"/>
          </w:tblCellMar>
        </w:tblPrEx>
        <w:trPr>
          <w:trHeight w:val="735" w:hRule="atLeast"/>
          <w:jc w:val="center"/>
        </w:trPr>
        <w:tc>
          <w:tcPr>
            <w:tcW w:w="814" w:type="dxa"/>
            <w:tcBorders>
              <w:top w:val="nil"/>
              <w:left w:val="single" w:color="auto" w:sz="4" w:space="0"/>
              <w:bottom w:val="single" w:color="auto" w:sz="6"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c>
          <w:tcPr>
            <w:tcW w:w="2058" w:type="dxa"/>
            <w:tcBorders>
              <w:top w:val="nil"/>
              <w:left w:val="nil"/>
              <w:bottom w:val="single" w:color="auto" w:sz="6"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人员培训</w:t>
            </w:r>
          </w:p>
        </w:tc>
        <w:tc>
          <w:tcPr>
            <w:tcW w:w="6676" w:type="dxa"/>
            <w:tcBorders>
              <w:top w:val="nil"/>
              <w:left w:val="nil"/>
              <w:bottom w:val="single" w:color="auto" w:sz="6" w:space="0"/>
              <w:right w:val="single" w:color="auto" w:sz="4" w:space="0"/>
            </w:tcBorders>
            <w:shd w:val="clear" w:color="auto" w:fill="auto"/>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根据核查结果，结合医保政策和临床科室特点，每季度对甲方医护人员进行相关内容培训</w:t>
            </w:r>
          </w:p>
        </w:tc>
      </w:tr>
      <w:tr>
        <w:tblPrEx>
          <w:tblCellMar>
            <w:top w:w="0" w:type="dxa"/>
            <w:left w:w="108" w:type="dxa"/>
            <w:bottom w:w="0" w:type="dxa"/>
            <w:right w:w="108" w:type="dxa"/>
          </w:tblCellMar>
        </w:tblPrEx>
        <w:trPr>
          <w:trHeight w:val="2010" w:hRule="atLeast"/>
          <w:jc w:val="center"/>
        </w:trPr>
        <w:tc>
          <w:tcPr>
            <w:tcW w:w="814" w:type="dxa"/>
            <w:tcBorders>
              <w:top w:val="single" w:color="auto" w:sz="6"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w:t>
            </w:r>
          </w:p>
        </w:tc>
        <w:tc>
          <w:tcPr>
            <w:tcW w:w="2058" w:type="dxa"/>
            <w:tcBorders>
              <w:top w:val="single" w:color="auto" w:sz="6"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DRG智能监测模块</w:t>
            </w:r>
          </w:p>
        </w:tc>
        <w:tc>
          <w:tcPr>
            <w:tcW w:w="6676" w:type="dxa"/>
            <w:tcBorders>
              <w:top w:val="single" w:color="auto" w:sz="6"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基于院内历史分组数据测算制定医院当期各组别的费用区间，同时通过智能分组功能对“在院”不同场景下的在院病例进行预设分组以确定该病例所属组别，并对治疗过程中各病组的费用消耗情况进行实时监测，促进医院通过提升运营管理水平在新型医保支付政策环境中持续发展</w:t>
            </w:r>
          </w:p>
        </w:tc>
      </w:tr>
      <w:tr>
        <w:tblPrEx>
          <w:tblCellMar>
            <w:top w:w="0" w:type="dxa"/>
            <w:left w:w="108" w:type="dxa"/>
            <w:bottom w:w="0" w:type="dxa"/>
            <w:right w:w="108" w:type="dxa"/>
          </w:tblCellMar>
        </w:tblPrEx>
        <w:trPr>
          <w:trHeight w:val="2100" w:hRule="atLeast"/>
          <w:jc w:val="center"/>
        </w:trPr>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w:t>
            </w:r>
          </w:p>
        </w:tc>
        <w:tc>
          <w:tcPr>
            <w:tcW w:w="20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病组结算差额评价模块</w:t>
            </w:r>
          </w:p>
        </w:tc>
        <w:tc>
          <w:tcPr>
            <w:tcW w:w="66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病组结算差额评价模块主要服务于医保管理人员，通过首页重点指标及病组、科室、主诊组、病例维度进行钻取式分析医院实施病组付费方式后按病组结算收入与医疗费用之间的差额情况，为医院在费用成本控制方面提供数据依据，推动医院医疗费用精细化管理进程</w:t>
            </w:r>
          </w:p>
        </w:tc>
      </w:tr>
    </w:tbl>
    <w:p>
      <w:pP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widowControl/>
        <w:jc w:val="right"/>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 xml:space="preserve">                                   </w:t>
      </w:r>
    </w:p>
    <w:sectPr>
      <w:pgSz w:w="11906" w:h="16838"/>
      <w:pgMar w:top="1440" w:right="1800" w:bottom="283" w:left="1800"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6E76E8"/>
    <w:rsid w:val="337C646E"/>
    <w:rsid w:val="4ABF1569"/>
    <w:rsid w:val="5E3E77F0"/>
    <w:rsid w:val="60764D0C"/>
    <w:rsid w:val="74D10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2</Pages>
  <Words>620</Words>
  <Characters>632</Characters>
  <Paragraphs>44</Paragraphs>
  <TotalTime>0</TotalTime>
  <ScaleCrop>false</ScaleCrop>
  <LinksUpToDate>false</LinksUpToDate>
  <CharactersWithSpaces>638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2020-07-30T04:39:00Z</dcterms:created>
  <dc:creator>ylmfeng</dc:creator>
  <cp:lastModifiedBy>讨厌吃西瓜</cp:lastModifiedBy>
  <dcterms:modified xsi:type="dcterms:W3CDTF">2020-08-19T09:20:59Z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